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6066"/>
        <w:gridCol w:w="3969"/>
      </w:tblGrid>
      <w:tr>
        <w:tc>
          <w:tcPr>
            <w:tcW w:type="dxa" w:w="5188"/>
            <w:tcMar>
              <w:top w:w="0" w:type="dxa"/>
              <w:start w:w="0" w:type="dxa"/>
              <w:bottom w:w="70" w:type="dxa"/>
              <w:end w:w="0" w:type="dxa"/>
            </w:tcMar>
            <w:vAlign w:val="bottom"/>
          </w:tcPr>
          <w:p>
            <w:pPr>
              <w:keepNext w:val="0"/>
              <w:spacing w:before="0" w:after="40" w:line="240" w:lineRule="auto"/>
            </w:pPr>
            <w:r>
              <w:rPr>
                <w:rFonts w:ascii="Microsoft YaHei" w:hAnsi="Microsoft YaHei" w:eastAsia="Microsoft YaHei"/>
                <w:b/>
                <w:color w:val="1C2533"/>
                <w:sz w:val="54"/>
              </w:rPr>
              <w:t>严鹏</w:t>
            </w:r>
          </w:p>
          <w:p>
            <w:pPr>
              <w:keepNext w:val="0"/>
              <w:spacing w:before="0" w:after="0" w:line="264" w:lineRule="auto"/>
            </w:pPr>
            <w:r>
              <w:rPr>
                <w:rFonts w:ascii="Microsoft YaHei" w:hAnsi="Microsoft YaHei" w:eastAsia="Microsoft YaHei"/>
                <w:b/>
                <w:color w:val="245B9E"/>
                <w:sz w:val="20"/>
              </w:rPr>
              <w:t>Java 全栈开发工程师 / AI 系统与 Agent 应用工程师</w:t>
            </w:r>
          </w:p>
        </w:tc>
        <w:tc>
          <w:tcPr>
            <w:tcW w:type="dxa" w:w="5188"/>
            <w:tcMar>
              <w:top w:w="0" w:type="dxa"/>
              <w:start w:w="0" w:type="dxa"/>
              <w:bottom w:w="70" w:type="dxa"/>
              <w:end w:w="0" w:type="dxa"/>
            </w:tcMar>
            <w:vAlign w:val="bottom"/>
          </w:tcPr>
          <w:p>
            <w:pPr>
              <w:keepNext w:val="0"/>
              <w:spacing w:before="0" w:after="12" w:line="252" w:lineRule="auto"/>
            </w:pPr>
            <w:r>
              <w:rPr>
                <w:rFonts w:ascii="Microsoft YaHei" w:hAnsi="Microsoft YaHei" w:eastAsia="Microsoft YaHei"/>
                <w:b w:val="0"/>
                <w:color w:val="566273"/>
                <w:sz w:val="16"/>
              </w:rPr>
              <w:t xml:space="preserve">电话  </w:t>
            </w:r>
            <w:r>
              <w:rPr>
                <w:rFonts w:ascii="Microsoft YaHei" w:hAnsi="Microsoft YaHei" w:eastAsia="Microsoft YaHei"/>
                <w:b/>
                <w:color w:val="1C2533"/>
                <w:sz w:val="17"/>
              </w:rPr>
              <w:t>133 4897 5792</w:t>
            </w:r>
          </w:p>
          <w:p>
            <w:pPr>
              <w:keepNext w:val="0"/>
              <w:spacing w:before="0" w:after="12" w:line="252" w:lineRule="auto"/>
            </w:pPr>
            <w:r>
              <w:rPr>
                <w:rFonts w:ascii="Microsoft YaHei" w:hAnsi="Microsoft YaHei" w:eastAsia="Microsoft YaHei"/>
                <w:b w:val="0"/>
                <w:color w:val="566273"/>
                <w:sz w:val="16"/>
              </w:rPr>
              <w:t xml:space="preserve">邮箱  </w:t>
            </w:r>
            <w:r>
              <w:rPr>
                <w:rFonts w:ascii="Microsoft YaHei" w:hAnsi="Microsoft YaHei" w:eastAsia="Microsoft YaHei"/>
                <w:b/>
                <w:color w:val="1C2533"/>
                <w:sz w:val="17"/>
              </w:rPr>
              <w:t>527340982@qq.com</w:t>
            </w:r>
          </w:p>
          <w:p>
            <w:pPr>
              <w:keepNext w:val="0"/>
              <w:spacing w:before="0" w:after="12" w:line="252" w:lineRule="auto"/>
            </w:pPr>
            <w:r>
              <w:rPr>
                <w:rFonts w:ascii="Microsoft YaHei" w:hAnsi="Microsoft YaHei" w:eastAsia="Microsoft YaHei"/>
                <w:b w:val="0"/>
                <w:color w:val="566273"/>
                <w:sz w:val="16"/>
              </w:rPr>
              <w:t xml:space="preserve">所在地  </w:t>
            </w:r>
            <w:r>
              <w:rPr>
                <w:rFonts w:ascii="Microsoft YaHei" w:hAnsi="Microsoft YaHei" w:eastAsia="Microsoft YaHei"/>
                <w:b w:val="0"/>
                <w:color w:val="1C2533"/>
                <w:sz w:val="17"/>
              </w:rPr>
              <w:t>成都</w:t>
            </w:r>
          </w:p>
          <w:p>
            <w:pPr>
              <w:keepNext w:val="0"/>
              <w:spacing w:before="0" w:after="12" w:line="252" w:lineRule="auto"/>
            </w:pPr>
            <w:r>
              <w:rPr>
                <w:rFonts w:ascii="Microsoft YaHei" w:hAnsi="Microsoft YaHei" w:eastAsia="Microsoft YaHei"/>
                <w:b w:val="0"/>
                <w:color w:val="566273"/>
                <w:sz w:val="16"/>
              </w:rPr>
              <w:t xml:space="preserve">学历  </w:t>
            </w:r>
            <w:r>
              <w:rPr>
                <w:rFonts w:ascii="Microsoft YaHei" w:hAnsi="Microsoft YaHei" w:eastAsia="Microsoft YaHei"/>
                <w:b w:val="0"/>
                <w:color w:val="1C2533"/>
                <w:sz w:val="17"/>
              </w:rPr>
              <w:t>本科</w:t>
            </w:r>
          </w:p>
        </w:tc>
      </w:tr>
    </w:tbl>
    <w:p>
      <w:pPr>
        <w:keepNext w:val="0"/>
        <w:spacing w:before="0" w:after="0" w:line="269" w:lineRule="auto"/>
        <w:pBdr>
          <w:bottom w:val="single" w:sz="14" w:color="245B9E"/>
        </w:pBdr>
      </w:pPr>
    </w:p>
    <w:p>
      <w:pPr>
        <w:keepNext/>
        <w:spacing w:before="80" w:after="60" w:line="240" w:lineRule="auto"/>
        <w:pBdr>
          <w:bottom w:val="single" w:sz="6" w:space="3" w:color="DCE2E9"/>
        </w:pBdr>
      </w:pPr>
      <w:r>
        <w:rPr>
          <w:rFonts w:ascii="Microsoft YaHei" w:hAnsi="Microsoft YaHei" w:eastAsia="Microsoft YaHei"/>
          <w:b/>
          <w:color w:val="1C2533"/>
          <w:sz w:val="26"/>
        </w:rPr>
        <w:t>求职意向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EEF4FB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Microsoft YaHei" w:hAnsi="Microsoft YaHei" w:eastAsia="Microsoft YaHei"/>
                <w:b/>
                <w:color w:val="1C2533"/>
                <w:sz w:val="18"/>
              </w:rPr>
              <w:t xml:space="preserve">目标岗位  </w:t>
            </w:r>
            <w:r>
              <w:rPr>
                <w:rFonts w:ascii="Microsoft YaHei" w:hAnsi="Microsoft YaHei" w:eastAsia="Microsoft YaHei"/>
                <w:b w:val="0"/>
                <w:color w:val="2F4F73"/>
                <w:sz w:val="17"/>
              </w:rPr>
              <w:t>Java Web 全栈开发  ｜  AI 系统工程师  ｜  AI 应用开发  ｜  Agent 开发  ｜  期望薪资：17K—19K</w:t>
            </w:r>
          </w:p>
        </w:tc>
      </w:tr>
    </w:tbl>
    <w:p>
      <w:pPr>
        <w:keepNext/>
        <w:spacing w:before="80" w:after="60" w:line="240" w:lineRule="auto"/>
        <w:pBdr>
          <w:bottom w:val="single" w:sz="6" w:space="3" w:color="DCE2E9"/>
        </w:pBdr>
      </w:pPr>
      <w:r>
        <w:rPr>
          <w:rFonts w:ascii="Microsoft YaHei" w:hAnsi="Microsoft YaHei" w:eastAsia="Microsoft YaHei"/>
          <w:b/>
          <w:color w:val="1C2533"/>
          <w:sz w:val="26"/>
        </w:rPr>
        <w:t>个人概述</w:t>
      </w:r>
    </w:p>
    <w:p>
      <w:pPr>
        <w:keepNext w:val="0"/>
        <w:spacing w:before="0" w:after="30" w:line="269" w:lineRule="auto"/>
      </w:pPr>
      <w:r>
        <w:rPr>
          <w:rFonts w:ascii="Microsoft YaHei" w:hAnsi="Microsoft YaHei" w:eastAsia="Microsoft YaHei"/>
          <w:b w:val="0"/>
          <w:color w:val="354154"/>
          <w:sz w:val="17"/>
        </w:rPr>
        <w:t>Java 全栈与 AI 应用工程师，项目覆盖军工专业软件、电信运营商积分与交易、互联网平台、结构化技术文档、可靠性分析和企业 RAG。擅长将复杂专业规则抽象为可维护的数据模型、配置协议和执行流程，能够承担需求分析、系统设计、后端开发、前端实现、部署交付与问题定位。近年重点投入 AI 工程化应用，具备长文本结构化、知识抽取、RAG、Tool Calling、多轮 Agent 与模型结果缓存/恢复等实践经验；独立设计 Sample 声明式查询系统、jsonmorpher 数据转换框架和 txt2world 长篇小说世界建模系统。</w:t>
      </w:r>
    </w:p>
    <w:p>
      <w:pPr>
        <w:keepNext/>
        <w:spacing w:before="80" w:after="60" w:line="240" w:lineRule="auto"/>
        <w:pBdr>
          <w:bottom w:val="single" w:sz="6" w:space="3" w:color="DCE2E9"/>
        </w:pBdr>
      </w:pPr>
      <w:r>
        <w:rPr>
          <w:rFonts w:ascii="Microsoft YaHei" w:hAnsi="Microsoft YaHei" w:eastAsia="Microsoft YaHei"/>
          <w:b/>
          <w:color w:val="1C2533"/>
          <w:sz w:val="26"/>
        </w:rPr>
        <w:t>教育经历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50"/>
        <w:gridCol w:w="1757"/>
      </w:tblGrid>
      <w:tr>
        <w:tc>
          <w:tcPr>
            <w:tcW w:type="dxa" w:w="8050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Microsoft YaHei" w:hAnsi="Microsoft YaHei" w:eastAsia="Microsoft YaHei"/>
                <w:b/>
                <w:color w:val="1C2533"/>
                <w:sz w:val="21"/>
              </w:rPr>
              <w:t>成都理工大学</w:t>
            </w:r>
          </w:p>
        </w:tc>
        <w:tc>
          <w:tcPr>
            <w:tcW w:type="dxa" w:w="1757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  <w:jc w:val="right"/>
            </w:pPr>
            <w:r>
              <w:rPr>
                <w:rFonts w:ascii="Microsoft YaHei" w:hAnsi="Microsoft YaHei" w:eastAsia="Microsoft YaHei"/>
                <w:b w:val="0"/>
                <w:color w:val="566273"/>
                <w:sz w:val="16"/>
              </w:rPr>
              <w:t>2012 — 2016</w:t>
            </w:r>
          </w:p>
        </w:tc>
      </w:tr>
    </w:tbl>
    <w:p>
      <w:pPr>
        <w:keepNext w:val="0"/>
        <w:spacing w:before="0" w:after="0" w:line="269" w:lineRule="auto"/>
      </w:pPr>
      <w:r>
        <w:rPr>
          <w:rFonts w:ascii="Microsoft YaHei" w:hAnsi="Microsoft YaHei" w:eastAsia="Microsoft YaHei"/>
          <w:b w:val="0"/>
          <w:color w:val="566273"/>
          <w:sz w:val="17"/>
        </w:rPr>
        <w:t>信息工程｜本科</w:t>
      </w:r>
    </w:p>
    <w:p>
      <w:pPr>
        <w:keepNext/>
        <w:spacing w:before="80" w:after="60" w:line="240" w:lineRule="auto"/>
        <w:pBdr>
          <w:bottom w:val="single" w:sz="6" w:space="3" w:color="DCE2E9"/>
        </w:pBdr>
      </w:pPr>
      <w:r>
        <w:rPr>
          <w:rFonts w:ascii="Microsoft YaHei" w:hAnsi="Microsoft YaHei" w:eastAsia="Microsoft YaHei"/>
          <w:b/>
          <w:color w:val="1C2533"/>
          <w:sz w:val="26"/>
        </w:rPr>
        <w:t>工作经历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50"/>
        <w:gridCol w:w="1757"/>
      </w:tblGrid>
      <w:tr>
        <w:tc>
          <w:tcPr>
            <w:tcW w:type="dxa" w:w="8050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Microsoft YaHei" w:hAnsi="Microsoft YaHei" w:eastAsia="Microsoft YaHei"/>
                <w:b/>
                <w:color w:val="1C2533"/>
                <w:sz w:val="21"/>
              </w:rPr>
              <w:t>四川天盛志行科技有限公司</w:t>
            </w:r>
          </w:p>
        </w:tc>
        <w:tc>
          <w:tcPr>
            <w:tcW w:type="dxa" w:w="1757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  <w:jc w:val="right"/>
            </w:pPr>
            <w:r>
              <w:rPr>
                <w:rFonts w:ascii="Microsoft YaHei" w:hAnsi="Microsoft YaHei" w:eastAsia="Microsoft YaHei"/>
                <w:b w:val="0"/>
                <w:color w:val="566273"/>
                <w:sz w:val="16"/>
              </w:rPr>
              <w:t>2021 — 至今</w:t>
            </w:r>
          </w:p>
        </w:tc>
      </w:tr>
    </w:tbl>
    <w:p>
      <w:pPr>
        <w:keepNext/>
        <w:spacing w:before="0" w:after="20" w:line="269" w:lineRule="auto"/>
      </w:pPr>
      <w:r>
        <w:rPr>
          <w:rFonts w:ascii="Microsoft YaHei" w:hAnsi="Microsoft YaHei" w:eastAsia="Microsoft YaHei"/>
          <w:b/>
          <w:color w:val="245B9E"/>
          <w:sz w:val="17"/>
        </w:rPr>
        <w:t>Java 全栈 / 软件研发｜军工与科研院所专业软件</w:t>
      </w:r>
    </w:p>
    <w:p>
      <w:pPr>
        <w:keepNext w:val="0"/>
        <w:spacing w:before="0" w:after="30" w:line="259" w:lineRule="auto"/>
      </w:pPr>
      <w:r>
        <w:rPr>
          <w:rFonts w:ascii="Microsoft YaHei" w:hAnsi="Microsoft YaHei" w:eastAsia="Microsoft YaHei"/>
          <w:b w:val="0"/>
          <w:color w:val="465366"/>
          <w:sz w:val="17"/>
        </w:rPr>
        <w:t>面向中国电科 29 所、成飞集团、中国兵器装备集团 157 厂等客户，参与装备保障、电子对抗、可靠性分析、IETM、智能问答和动力环境监控等专业系统研发。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负责复杂业务需求拆解、数据模型与计算流程设计，并完成 Java 后端、Web 前端、文档/数据处理和交付问题定位。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长期处理树形/层级数据、规则 DSL、专业算法、结构化文档和配置驱动计算等非标准业务场景。</w:t>
      </w:r>
    </w:p>
    <w:p>
      <w:pPr>
        <w:keepNext w:val="0"/>
        <w:spacing w:before="0" w:after="20" w:line="269" w:lineRule="auto"/>
      </w:pPr>
      <w:r>
        <w:rPr>
          <w:rFonts w:ascii="Microsoft YaHei" w:hAnsi="Microsoft YaHei" w:eastAsia="Microsoft YaHei"/>
          <w:b w:val="0"/>
          <w:color w:val="1C2533"/>
          <w:sz w:val="1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50"/>
        <w:gridCol w:w="1757"/>
      </w:tblGrid>
      <w:tr>
        <w:tc>
          <w:tcPr>
            <w:tcW w:type="dxa" w:w="8050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Microsoft YaHei" w:hAnsi="Microsoft YaHei" w:eastAsia="Microsoft YaHei"/>
                <w:b/>
                <w:color w:val="1C2533"/>
                <w:sz w:val="21"/>
              </w:rPr>
              <w:t>艾其奥信息科技（成都）有限公司</w:t>
            </w:r>
          </w:p>
        </w:tc>
        <w:tc>
          <w:tcPr>
            <w:tcW w:type="dxa" w:w="1757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  <w:jc w:val="right"/>
            </w:pPr>
            <w:r>
              <w:rPr>
                <w:rFonts w:ascii="Microsoft YaHei" w:hAnsi="Microsoft YaHei" w:eastAsia="Microsoft YaHei"/>
                <w:b w:val="0"/>
                <w:color w:val="566273"/>
                <w:sz w:val="16"/>
              </w:rPr>
              <w:t>2018 — 2021</w:t>
            </w:r>
          </w:p>
        </w:tc>
      </w:tr>
    </w:tbl>
    <w:p>
      <w:pPr>
        <w:keepNext/>
        <w:spacing w:before="0" w:after="20" w:line="269" w:lineRule="auto"/>
      </w:pPr>
      <w:r>
        <w:rPr>
          <w:rFonts w:ascii="Microsoft YaHei" w:hAnsi="Microsoft YaHei" w:eastAsia="Microsoft YaHei"/>
          <w:b/>
          <w:color w:val="245B9E"/>
          <w:sz w:val="17"/>
        </w:rPr>
        <w:t>Java 研发工程师｜日本电信运营商相关业务</w:t>
      </w:r>
    </w:p>
    <w:p>
      <w:pPr>
        <w:keepNext w:val="0"/>
        <w:spacing w:before="0" w:after="30" w:line="259" w:lineRule="auto"/>
      </w:pPr>
      <w:r>
        <w:rPr>
          <w:rFonts w:ascii="Microsoft YaHei" w:hAnsi="Microsoft YaHei" w:eastAsia="Microsoft YaHei"/>
          <w:b w:val="0"/>
          <w:color w:val="465366"/>
          <w:sz w:val="17"/>
        </w:rPr>
        <w:t>参与 KDDI 积分与终端业务、CRM 数据批处理、夜间 Batch 及微信小程序 OCR 开票，积累交易规则、状态回退、批量数据处理和跨系统集成经验。</w:t>
      </w:r>
    </w:p>
    <w:p>
      <w:pPr>
        <w:keepNext w:val="0"/>
        <w:spacing w:before="0" w:after="20" w:line="269" w:lineRule="auto"/>
      </w:pPr>
      <w:r>
        <w:rPr>
          <w:rFonts w:ascii="Microsoft YaHei" w:hAnsi="Microsoft YaHei" w:eastAsia="Microsoft YaHei"/>
          <w:b w:val="0"/>
          <w:color w:val="1C2533"/>
          <w:sz w:val="1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50"/>
        <w:gridCol w:w="1757"/>
      </w:tblGrid>
      <w:tr>
        <w:tc>
          <w:tcPr>
            <w:tcW w:type="dxa" w:w="8050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Microsoft YaHei" w:hAnsi="Microsoft YaHei" w:eastAsia="Microsoft YaHei"/>
                <w:b/>
                <w:color w:val="1C2533"/>
                <w:sz w:val="21"/>
              </w:rPr>
              <w:t>成都华邑信息技术有限公司</w:t>
            </w:r>
          </w:p>
        </w:tc>
        <w:tc>
          <w:tcPr>
            <w:tcW w:type="dxa" w:w="1757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  <w:jc w:val="right"/>
            </w:pPr>
            <w:r>
              <w:rPr>
                <w:rFonts w:ascii="Microsoft YaHei" w:hAnsi="Microsoft YaHei" w:eastAsia="Microsoft YaHei"/>
                <w:b w:val="0"/>
                <w:color w:val="566273"/>
                <w:sz w:val="16"/>
              </w:rPr>
              <w:t>2016 — 2018</w:t>
            </w:r>
          </w:p>
        </w:tc>
      </w:tr>
    </w:tbl>
    <w:p>
      <w:pPr>
        <w:keepNext/>
        <w:spacing w:before="0" w:after="20" w:line="269" w:lineRule="auto"/>
      </w:pPr>
      <w:r>
        <w:rPr>
          <w:rFonts w:ascii="Microsoft YaHei" w:hAnsi="Microsoft YaHei" w:eastAsia="Microsoft YaHei"/>
          <w:b/>
          <w:color w:val="245B9E"/>
          <w:sz w:val="17"/>
        </w:rPr>
        <w:t>Java 全栈开发｜互联网内容交易平台</w:t>
      </w:r>
    </w:p>
    <w:p>
      <w:pPr>
        <w:keepNext w:val="0"/>
        <w:spacing w:before="0" w:after="30" w:line="259" w:lineRule="auto"/>
      </w:pPr>
      <w:r>
        <w:rPr>
          <w:rFonts w:ascii="Microsoft YaHei" w:hAnsi="Microsoft YaHei" w:eastAsia="Microsoft YaHei"/>
          <w:b w:val="0"/>
          <w:color w:val="465366"/>
          <w:sz w:val="17"/>
        </w:rPr>
        <w:t>参与服务写手与约稿人的网站和微信小程序研发，覆盖订单、私信、会员、充值、优惠券、微信/PayPal 支付、国际化和部署等业务链路。</w:t>
      </w:r>
    </w:p>
    <w:p>
      <w:pPr>
        <w:keepNext w:val="0"/>
        <w:spacing w:before="0" w:after="20" w:line="269" w:lineRule="auto"/>
      </w:pPr>
      <w:r>
        <w:rPr>
          <w:rFonts w:ascii="Microsoft YaHei" w:hAnsi="Microsoft YaHei" w:eastAsia="Microsoft YaHei"/>
          <w:b w:val="0"/>
          <w:color w:val="1C2533"/>
          <w:sz w:val="18"/>
        </w:rPr>
      </w:r>
    </w:p>
    <w:p>
      <w:pPr>
        <w:keepNext/>
        <w:spacing w:before="80" w:after="60" w:line="240" w:lineRule="auto"/>
        <w:pBdr>
          <w:bottom w:val="single" w:sz="6" w:space="3" w:color="DCE2E9"/>
        </w:pBdr>
      </w:pPr>
      <w:r>
        <w:br w:type="page"/>
      </w:r>
      <w:r>
        <w:rPr>
          <w:rFonts w:ascii="Microsoft YaHei" w:hAnsi="Microsoft YaHei" w:eastAsia="Microsoft YaHei"/>
          <w:b/>
          <w:color w:val="1C2533"/>
          <w:sz w:val="26"/>
        </w:rPr>
        <w:t>项目经历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50"/>
        <w:gridCol w:w="1757"/>
      </w:tblGrid>
      <w:tr>
        <w:tc>
          <w:tcPr>
            <w:tcW w:type="dxa" w:w="8050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Microsoft YaHei" w:hAnsi="Microsoft YaHei" w:eastAsia="Microsoft YaHei"/>
                <w:b/>
                <w:color w:val="1C2533"/>
                <w:sz w:val="20"/>
              </w:rPr>
              <w:t>txt2world｜长篇小说 AI 世界建模与调查式问答系统</w:t>
            </w:r>
          </w:p>
        </w:tc>
        <w:tc>
          <w:tcPr>
            <w:tcW w:type="dxa" w:w="1757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  <w:jc w:val="right"/>
            </w:pPr>
            <w:r>
              <w:rPr>
                <w:rFonts w:ascii="Microsoft YaHei" w:hAnsi="Microsoft YaHei" w:eastAsia="Microsoft YaHei"/>
                <w:b w:val="0"/>
                <w:color w:val="566273"/>
                <w:sz w:val="16"/>
              </w:rPr>
              <w:t>个人项目</w:t>
            </w:r>
          </w:p>
        </w:tc>
      </w:tr>
    </w:tbl>
    <w:p>
      <w:pPr>
        <w:keepNext/>
        <w:spacing w:before="0" w:after="16" w:line="269" w:lineRule="auto"/>
      </w:pPr>
      <w:r>
        <w:rPr>
          <w:rFonts w:ascii="Microsoft YaHei" w:hAnsi="Microsoft YaHei" w:eastAsia="Microsoft YaHei"/>
          <w:b/>
          <w:color w:val="245B9E"/>
          <w:sz w:val="16"/>
        </w:rPr>
        <w:t>AI 长文本结构化｜知识图谱式浏览｜事件 DAG｜Tool Calling Agent</w:t>
      </w:r>
    </w:p>
    <w:p>
      <w:pPr>
        <w:keepNext w:val="0"/>
        <w:spacing w:before="0" w:after="18" w:line="259" w:lineRule="auto"/>
      </w:pPr>
      <w:r>
        <w:rPr>
          <w:rFonts w:ascii="Microsoft YaHei" w:hAnsi="Microsoft YaHei" w:eastAsia="Microsoft YaHei"/>
          <w:b w:val="0"/>
          <w:color w:val="4D596A"/>
          <w:sz w:val="16"/>
        </w:rPr>
        <w:t>独立设计并开发，将长篇 TXT 小说转换为可迁移的文件夹项目，形成章节摘要、人物/物品/势力档案、人物关系和 L1—L4 事件 DAG，并提供关系星图、增强阅读器及多轮调查问答。</w:t>
      </w:r>
    </w:p>
    <w:p>
      <w:pPr>
        <w:keepNext w:val="0"/>
        <w:spacing w:before="0" w:after="18" w:line="259" w:lineRule="auto"/>
      </w:pPr>
      <w:r>
        <w:rPr>
          <w:rFonts w:ascii="Microsoft YaHei" w:hAnsi="Microsoft YaHei" w:eastAsia="Microsoft YaHei"/>
          <w:b w:val="0"/>
          <w:color w:val="4D596A"/>
          <w:sz w:val="16"/>
        </w:rPr>
        <w:t>在线地址：http://txt2world.tftgamer.com/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认知流水线：按章节组织 Chunk，顺序生成剧情摘要与三级阅读记忆；并发抽取实体草稿，经名称/别名合并和模型复核后对齐全局 WorldObj，再抽取分阶段人物关系。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事件建模：没有把复杂叙事强制压成单父树，而是建立支持多父关系的事件 DAG；由确定性代码负责环路检测、成员关系校验和未聚合事件兜底。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调查 Agent：构建最多 16 轮的 Tool Calling 流程，优先调查结构化人物、物品、势力和事件，再逐级回退至局部摘要、章节摘要和原文。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工程可靠性：通过 Prompt 指纹、AI 通信日志和磁盘缓存复用成功结果，支持失败后继续解析；采用无数据库设计，使原文、中间结果、缓存和问答记录成为用户可迁移资产。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50"/>
        <w:gridCol w:w="1757"/>
      </w:tblGrid>
      <w:tr>
        <w:tc>
          <w:tcPr>
            <w:tcW w:type="dxa" w:w="8050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Microsoft YaHei" w:hAnsi="Microsoft YaHei" w:eastAsia="Microsoft YaHei"/>
                <w:b/>
                <w:color w:val="1C2533"/>
                <w:sz w:val="20"/>
              </w:rPr>
              <w:t>电子对抗作战规划与仿真系统</w:t>
            </w:r>
          </w:p>
        </w:tc>
        <w:tc>
          <w:tcPr>
            <w:tcW w:type="dxa" w:w="1757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  <w:jc w:val="right"/>
            </w:pPr>
            <w:r>
              <w:rPr>
                <w:rFonts w:ascii="Microsoft YaHei" w:hAnsi="Microsoft YaHei" w:eastAsia="Microsoft YaHei"/>
                <w:b w:val="0"/>
                <w:color w:val="566273"/>
                <w:sz w:val="16"/>
              </w:rPr>
              <w:t>专业软件</w:t>
            </w:r>
          </w:p>
        </w:tc>
      </w:tr>
    </w:tbl>
    <w:p>
      <w:pPr>
        <w:keepNext/>
        <w:spacing w:before="0" w:after="16" w:line="269" w:lineRule="auto"/>
      </w:pPr>
      <w:r>
        <w:rPr>
          <w:rFonts w:ascii="Microsoft YaHei" w:hAnsi="Microsoft YaHei" w:eastAsia="Microsoft YaHei"/>
          <w:b/>
          <w:color w:val="245B9E"/>
          <w:sz w:val="16"/>
        </w:rPr>
        <w:t>作战计划｜战场态势｜装备部署｜专业效果计算</w:t>
      </w:r>
    </w:p>
    <w:p>
      <w:pPr>
        <w:keepNext w:val="0"/>
        <w:spacing w:before="0" w:after="18" w:line="259" w:lineRule="auto"/>
      </w:pPr>
      <w:r>
        <w:rPr>
          <w:rFonts w:ascii="Microsoft YaHei" w:hAnsi="Microsoft YaHei" w:eastAsia="Microsoft YaHei"/>
          <w:b w:val="0"/>
          <w:color w:val="4D596A"/>
          <w:sz w:val="16"/>
        </w:rPr>
        <w:t>围绕作战计划、方案、战场态势和装备部署等业务，处理雷达、通信、光电、导航及相应干扰专业域。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将装备性能参数、位置信息与场景规则转化为可执行计算模型，为作用范围、干扰效果和态势展示提供数据基础。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参与专业业务模型的前后端实现，处理复杂层级数据、计算结果展示与工程交付问题。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50"/>
        <w:gridCol w:w="1757"/>
      </w:tblGrid>
      <w:tr>
        <w:tc>
          <w:tcPr>
            <w:tcW w:type="dxa" w:w="8050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Microsoft YaHei" w:hAnsi="Microsoft YaHei" w:eastAsia="Microsoft YaHei"/>
                <w:b/>
                <w:color w:val="1C2533"/>
                <w:sz w:val="20"/>
              </w:rPr>
              <w:t>IETM 浏览器、数据包修改器与可视化编辑器</w:t>
            </w:r>
          </w:p>
        </w:tc>
        <w:tc>
          <w:tcPr>
            <w:tcW w:type="dxa" w:w="1757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  <w:jc w:val="right"/>
            </w:pPr>
            <w:r>
              <w:rPr>
                <w:rFonts w:ascii="Microsoft YaHei" w:hAnsi="Microsoft YaHei" w:eastAsia="Microsoft YaHei"/>
                <w:b w:val="0"/>
                <w:color w:val="566273"/>
                <w:sz w:val="16"/>
              </w:rPr>
              <w:t>S1000D / GJB6600</w:t>
            </w:r>
          </w:p>
        </w:tc>
      </w:tr>
    </w:tbl>
    <w:p>
      <w:pPr>
        <w:keepNext/>
        <w:spacing w:before="0" w:after="16" w:line="269" w:lineRule="auto"/>
      </w:pPr>
      <w:r>
        <w:rPr>
          <w:rFonts w:ascii="Microsoft YaHei" w:hAnsi="Microsoft YaHei" w:eastAsia="Microsoft YaHei"/>
          <w:b/>
          <w:color w:val="245B9E"/>
          <w:sz w:val="16"/>
        </w:rPr>
        <w:t>结构化技术文档｜复杂 XML 数据｜可视化编辑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面向交互式电子技术手册开发浏览、定位、修改和可视化编辑工具，处理标准约束下的结构化文档和数据包。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将底层复杂文件组织映射为可搜索、可定位、可编辑的结构视图，使业务人员能够以接近普通文档编辑器的方式维护标准化内容。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50"/>
        <w:gridCol w:w="1757"/>
      </w:tblGrid>
      <w:tr>
        <w:tc>
          <w:tcPr>
            <w:tcW w:type="dxa" w:w="8050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Microsoft YaHei" w:hAnsi="Microsoft YaHei" w:eastAsia="Microsoft YaHei"/>
                <w:b/>
                <w:color w:val="1C2533"/>
                <w:sz w:val="20"/>
              </w:rPr>
              <w:t>企业内部文档智能问答系统</w:t>
            </w:r>
          </w:p>
        </w:tc>
        <w:tc>
          <w:tcPr>
            <w:tcW w:type="dxa" w:w="1757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  <w:jc w:val="right"/>
            </w:pPr>
            <w:r>
              <w:rPr>
                <w:rFonts w:ascii="Microsoft YaHei" w:hAnsi="Microsoft YaHei" w:eastAsia="Microsoft YaHei"/>
                <w:b w:val="0"/>
                <w:color w:val="566273"/>
                <w:sz w:val="16"/>
              </w:rPr>
              <w:t>AI / RAG</w:t>
            </w:r>
          </w:p>
        </w:tc>
      </w:tr>
    </w:tbl>
    <w:p>
      <w:pPr>
        <w:keepNext/>
        <w:spacing w:before="0" w:after="16" w:line="269" w:lineRule="auto"/>
      </w:pPr>
      <w:r>
        <w:rPr>
          <w:rFonts w:ascii="Microsoft YaHei" w:hAnsi="Microsoft YaHei" w:eastAsia="Microsoft YaHei"/>
          <w:b/>
          <w:color w:val="245B9E"/>
          <w:sz w:val="16"/>
        </w:rPr>
        <w:t>文档解析｜分块与检索｜大模型问答｜内容生成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围绕内部文档解析、分块、检索和大模型回答构建知识问答链路，使用户可以通过自然语言检索专业资料。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在问答能力上扩展 AI 内容生产，支持根据内部资料生成 PPT、试卷和教案等业务成果。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50"/>
        <w:gridCol w:w="1757"/>
      </w:tblGrid>
      <w:tr>
        <w:tc>
          <w:tcPr>
            <w:tcW w:type="dxa" w:w="8050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Microsoft YaHei" w:hAnsi="Microsoft YaHei" w:eastAsia="Microsoft YaHei"/>
                <w:b/>
                <w:color w:val="1C2533"/>
                <w:sz w:val="20"/>
              </w:rPr>
              <w:t>可靠度分析系统</w:t>
            </w:r>
          </w:p>
        </w:tc>
        <w:tc>
          <w:tcPr>
            <w:tcW w:type="dxa" w:w="1757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  <w:jc w:val="right"/>
            </w:pPr>
            <w:r>
              <w:rPr>
                <w:rFonts w:ascii="Microsoft YaHei" w:hAnsi="Microsoft YaHei" w:eastAsia="Microsoft YaHei"/>
                <w:b w:val="0"/>
                <w:color w:val="566273"/>
                <w:sz w:val="16"/>
              </w:rPr>
              <w:t>统计计算</w:t>
            </w:r>
          </w:p>
        </w:tc>
      </w:tr>
    </w:tbl>
    <w:p>
      <w:pPr>
        <w:keepNext/>
        <w:spacing w:before="0" w:after="16" w:line="269" w:lineRule="auto"/>
      </w:pPr>
      <w:r>
        <w:rPr>
          <w:rFonts w:ascii="Microsoft YaHei" w:hAnsi="Microsoft YaHei" w:eastAsia="Microsoft YaHei"/>
          <w:b/>
          <w:color w:val="245B9E"/>
          <w:sz w:val="16"/>
        </w:rPr>
        <w:t>指数分布｜威布尔分布｜最大似然估计｜MCMC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实现基于指数分布、威布尔分布的经典可靠性评估与最大似然估计流程。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实现基于 MCMC 的可靠性评估，并支持多阶段、多部件等复杂可靠性分析场景。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50"/>
        <w:gridCol w:w="1757"/>
      </w:tblGrid>
      <w:tr>
        <w:tc>
          <w:tcPr>
            <w:tcW w:type="dxa" w:w="8050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Microsoft YaHei" w:hAnsi="Microsoft YaHei" w:eastAsia="Microsoft YaHei"/>
                <w:b/>
                <w:color w:val="1C2533"/>
                <w:sz w:val="20"/>
              </w:rPr>
              <w:t>电磁信号相似度配置与计算系统</w:t>
            </w:r>
          </w:p>
        </w:tc>
        <w:tc>
          <w:tcPr>
            <w:tcW w:type="dxa" w:w="1757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  <w:jc w:val="right"/>
            </w:pPr>
            <w:r>
              <w:rPr>
                <w:rFonts w:ascii="Microsoft YaHei" w:hAnsi="Microsoft YaHei" w:eastAsia="Microsoft YaHei"/>
                <w:b w:val="0"/>
                <w:color w:val="566273"/>
                <w:sz w:val="16"/>
              </w:rPr>
              <w:t>配置驱动计算</w:t>
            </w:r>
          </w:p>
        </w:tc>
      </w:tr>
    </w:tbl>
    <w:p>
      <w:pPr>
        <w:keepNext/>
        <w:spacing w:before="0" w:after="16" w:line="269" w:lineRule="auto"/>
      </w:pPr>
      <w:r>
        <w:rPr>
          <w:rFonts w:ascii="Microsoft YaHei" w:hAnsi="Microsoft YaHei" w:eastAsia="Microsoft YaHei"/>
          <w:b/>
          <w:color w:val="245B9E"/>
          <w:sz w:val="16"/>
        </w:rPr>
        <w:t>层级计算模型｜指标与算子配置｜自底向上聚合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将场景中的比较层级、输入参数、算子和聚合关系抽象为可配置的树形计算结构。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后台根据配置从底层指标逐级向上聚合得到整体相似度，使新模型主要通过配置完成，减少重复业务编码。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50"/>
        <w:gridCol w:w="1757"/>
      </w:tblGrid>
      <w:tr>
        <w:tc>
          <w:tcPr>
            <w:tcW w:type="dxa" w:w="8050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Microsoft YaHei" w:hAnsi="Microsoft YaHei" w:eastAsia="Microsoft YaHei"/>
                <w:b/>
                <w:color w:val="1C2533"/>
                <w:sz w:val="20"/>
              </w:rPr>
              <w:t>装备排故系统</w:t>
            </w:r>
          </w:p>
        </w:tc>
        <w:tc>
          <w:tcPr>
            <w:tcW w:type="dxa" w:w="1757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  <w:jc w:val="right"/>
            </w:pPr>
            <w:r>
              <w:rPr>
                <w:rFonts w:ascii="Microsoft YaHei" w:hAnsi="Microsoft YaHei" w:eastAsia="Microsoft YaHei"/>
                <w:b w:val="0"/>
                <w:color w:val="566273"/>
                <w:sz w:val="16"/>
              </w:rPr>
              <w:t>规则 DSL</w:t>
            </w:r>
          </w:p>
        </w:tc>
      </w:tr>
    </w:tbl>
    <w:p>
      <w:pPr>
        <w:keepNext/>
        <w:spacing w:before="0" w:after="16" w:line="269" w:lineRule="auto"/>
      </w:pPr>
      <w:r>
        <w:rPr>
          <w:rFonts w:ascii="Microsoft YaHei" w:hAnsi="Microsoft YaHei" w:eastAsia="Microsoft YaHei"/>
          <w:b/>
          <w:color w:val="245B9E"/>
          <w:sz w:val="16"/>
        </w:rPr>
        <w:t>缩进语法｜决策分支｜专家经验结构化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设计基于缩进与关键字的轻量表达规则，通过文本描述排故层级、分支和终止节点，降低复杂排故知识的录入成本。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将文本解析为可搜索、可筛选的排故结构，支持用户逐步点选完成交互式排故，把专家经验转化为可维护、可执行知识。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50"/>
        <w:gridCol w:w="1757"/>
      </w:tblGrid>
      <w:tr>
        <w:tc>
          <w:tcPr>
            <w:tcW w:type="dxa" w:w="8050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Microsoft YaHei" w:hAnsi="Microsoft YaHei" w:eastAsia="Microsoft YaHei"/>
                <w:b/>
                <w:color w:val="1C2533"/>
                <w:sz w:val="20"/>
              </w:rPr>
              <w:t>多型装备维修保障管理系统</w:t>
            </w:r>
          </w:p>
        </w:tc>
        <w:tc>
          <w:tcPr>
            <w:tcW w:type="dxa" w:w="1757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  <w:jc w:val="right"/>
            </w:pPr>
            <w:r>
              <w:rPr>
                <w:rFonts w:ascii="Microsoft YaHei" w:hAnsi="Microsoft YaHei" w:eastAsia="Microsoft YaHei"/>
                <w:b w:val="0"/>
                <w:color w:val="566273"/>
                <w:sz w:val="16"/>
              </w:rPr>
              <w:t>装备全生命周期管理</w:t>
            </w:r>
          </w:p>
        </w:tc>
      </w:tr>
    </w:tbl>
    <w:p>
      <w:pPr>
        <w:keepNext/>
        <w:spacing w:before="0" w:after="16" w:line="269" w:lineRule="auto"/>
      </w:pPr>
      <w:r>
        <w:rPr>
          <w:rFonts w:ascii="Microsoft YaHei" w:hAnsi="Microsoft YaHei" w:eastAsia="Microsoft YaHei"/>
          <w:b/>
          <w:color w:val="245B9E"/>
          <w:sz w:val="16"/>
        </w:rPr>
        <w:t>装备结构｜故障管理｜维修管理｜库存管理｜培训系统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面向多型号装备建立结构与台账管理能力，统一组织装备层级、部件关系和基础资料。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贯通故障发现、维修处置、备件库存与人员培训流程，为装备维修保障业务提供信息化管理和过程追溯。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50"/>
        <w:gridCol w:w="1757"/>
      </w:tblGrid>
      <w:tr>
        <w:tc>
          <w:tcPr>
            <w:tcW w:type="dxa" w:w="8050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Microsoft YaHei" w:hAnsi="Microsoft YaHei" w:eastAsia="Microsoft YaHei"/>
                <w:b/>
                <w:color w:val="1C2533"/>
                <w:sz w:val="20"/>
              </w:rPr>
              <w:t>jsonmorpher｜配置化 JSON 结构转换框架</w:t>
            </w:r>
          </w:p>
        </w:tc>
        <w:tc>
          <w:tcPr>
            <w:tcW w:type="dxa" w:w="1757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  <w:jc w:val="right"/>
            </w:pPr>
            <w:r>
              <w:rPr>
                <w:rFonts w:ascii="Microsoft YaHei" w:hAnsi="Microsoft YaHei" w:eastAsia="Microsoft YaHei"/>
                <w:b w:val="0"/>
                <w:color w:val="566273"/>
                <w:sz w:val="16"/>
              </w:rPr>
              <w:t>原创框架</w:t>
            </w:r>
          </w:p>
        </w:tc>
      </w:tr>
    </w:tbl>
    <w:p>
      <w:pPr>
        <w:keepNext/>
        <w:spacing w:before="0" w:after="16" w:line="269" w:lineRule="auto"/>
      </w:pPr>
      <w:r>
        <w:rPr>
          <w:rFonts w:ascii="Microsoft YaHei" w:hAnsi="Microsoft YaHei" w:eastAsia="Microsoft YaHei"/>
          <w:b/>
          <w:color w:val="245B9E"/>
          <w:sz w:val="16"/>
        </w:rPr>
        <w:t>JSON Mapping DSL｜嵌套对象/数组｜外部上下文注入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解决复杂、深度嵌套 JSON A 到不同结构 JSON B 的映射问题，目标字段可来自源 JSON、外部信息或内置设值逻辑。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创新地将转换规则写成与目标 JSON 相同的 Schema，仅增加字段来源、数组来源等内置元数据；阅读规则即可直接看到输出形态。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把分散的过程式转换逻辑集中到单一规则文件和同一注意力视野内，使数据结构变化时可以快速定位和修改。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50"/>
        <w:gridCol w:w="1757"/>
      </w:tblGrid>
      <w:tr>
        <w:tc>
          <w:tcPr>
            <w:tcW w:type="dxa" w:w="8050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Microsoft YaHei" w:hAnsi="Microsoft YaHei" w:eastAsia="Microsoft YaHei"/>
                <w:b/>
                <w:color w:val="1C2533"/>
                <w:sz w:val="20"/>
              </w:rPr>
              <w:t>Sample 声明式通用查询系统</w:t>
            </w:r>
          </w:p>
        </w:tc>
        <w:tc>
          <w:tcPr>
            <w:tcW w:type="dxa" w:w="1757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  <w:jc w:val="right"/>
            </w:pPr>
            <w:r>
              <w:rPr>
                <w:rFonts w:ascii="Microsoft YaHei" w:hAnsi="Microsoft YaHei" w:eastAsia="Microsoft YaHei"/>
                <w:b w:val="0"/>
                <w:color w:val="566273"/>
                <w:sz w:val="16"/>
              </w:rPr>
              <w:t>原创框架</w:t>
            </w:r>
          </w:p>
        </w:tc>
      </w:tr>
    </w:tbl>
    <w:p>
      <w:pPr>
        <w:keepNext/>
        <w:spacing w:before="0" w:after="16" w:line="269" w:lineRule="auto"/>
      </w:pPr>
      <w:r>
        <w:rPr>
          <w:rFonts w:ascii="Microsoft YaHei" w:hAnsi="Microsoft YaHei" w:eastAsia="Microsoft YaHei"/>
          <w:b/>
          <w:color w:val="245B9E"/>
          <w:sz w:val="16"/>
        </w:rPr>
        <w:t>Spring Boot｜JPA Criteria｜反射｜自定义注解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以实体对象作为轻量查询 DSL，统一支持等值/范围/模糊/空值/IN、AND/OR 组合、条件分组、关联子查询、分页、排序、字段投影和统计。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通过 @ForeignField 元数据描述跨表字段关系，由框架集中完成关联数据批量查询与结果回填。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将简单 CRUD 页面从“为每个条件编写 Repository 方法”转变为“声明查询意图、框架解释执行”，减少重复数据访问代码并保持接口一致性。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50"/>
        <w:gridCol w:w="1757"/>
      </w:tblGrid>
      <w:tr>
        <w:tc>
          <w:tcPr>
            <w:tcW w:type="dxa" w:w="8050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Microsoft YaHei" w:hAnsi="Microsoft YaHei" w:eastAsia="Microsoft YaHei"/>
                <w:b/>
                <w:color w:val="1C2533"/>
                <w:sz w:val="20"/>
              </w:rPr>
              <w:t>KDDI 用户商城活动积分管理系统</w:t>
            </w:r>
          </w:p>
        </w:tc>
        <w:tc>
          <w:tcPr>
            <w:tcW w:type="dxa" w:w="1757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  <w:jc w:val="right"/>
            </w:pPr>
            <w:r>
              <w:rPr>
                <w:rFonts w:ascii="Microsoft YaHei" w:hAnsi="Microsoft YaHei" w:eastAsia="Microsoft YaHei"/>
                <w:b w:val="0"/>
                <w:color w:val="566273"/>
                <w:sz w:val="16"/>
              </w:rPr>
              <w:t>电信运营商</w:t>
            </w:r>
          </w:p>
        </w:tc>
      </w:tr>
    </w:tbl>
    <w:p>
      <w:pPr>
        <w:keepNext/>
        <w:spacing w:before="0" w:after="16" w:line="269" w:lineRule="auto"/>
      </w:pPr>
      <w:r>
        <w:rPr>
          <w:rFonts w:ascii="Microsoft YaHei" w:hAnsi="Microsoft YaHei" w:eastAsia="Microsoft YaHei"/>
          <w:b/>
          <w:color w:val="245B9E"/>
          <w:sz w:val="16"/>
        </w:rPr>
        <w:t>积分交易｜规则校验｜异常回退｜Filter Chain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管理多来源、多类型积分及优惠活动信息，完成统一换算、条件校验、积分扣减和交易异常回退。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通过 Filter Chain 与指定检查方法组合业务规则，使用 Hibernate / Criteria 完成数据访问。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50"/>
        <w:gridCol w:w="1757"/>
      </w:tblGrid>
      <w:tr>
        <w:tc>
          <w:tcPr>
            <w:tcW w:type="dxa" w:w="8050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Microsoft YaHei" w:hAnsi="Microsoft YaHei" w:eastAsia="Microsoft YaHei"/>
                <w:b/>
                <w:color w:val="1C2533"/>
                <w:sz w:val="20"/>
              </w:rPr>
              <w:t>OCR 识图开票与 CRM 夜间 Batch</w:t>
            </w:r>
          </w:p>
        </w:tc>
        <w:tc>
          <w:tcPr>
            <w:tcW w:type="dxa" w:w="1757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  <w:jc w:val="right"/>
            </w:pPr>
            <w:r>
              <w:rPr>
                <w:rFonts w:ascii="Microsoft YaHei" w:hAnsi="Microsoft YaHei" w:eastAsia="Microsoft YaHei"/>
                <w:b w:val="0"/>
                <w:color w:val="566273"/>
                <w:sz w:val="16"/>
              </w:rPr>
              <w:t>数据处理</w:t>
            </w:r>
          </w:p>
        </w:tc>
      </w:tr>
    </w:tbl>
    <w:p>
      <w:pPr>
        <w:keepNext/>
        <w:spacing w:before="0" w:after="16" w:line="269" w:lineRule="auto"/>
      </w:pPr>
      <w:r>
        <w:rPr>
          <w:rFonts w:ascii="Microsoft YaHei" w:hAnsi="Microsoft YaHei" w:eastAsia="Microsoft YaHei"/>
          <w:b/>
          <w:color w:val="245B9E"/>
          <w:sz w:val="16"/>
        </w:rPr>
        <w:t>OCR｜小程序｜Aspose / Excel｜Control Break / Match Break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串联小票图像上传、OCR 识别、发票字段确认、抬头选择和打印图生成，参与小程序前后端实现。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整合不同业务系统与不同数据源的客户数据，形成客户、门店、时间等维度的统计结果，并参与 Linux/Shell 环境下的 Batch 测试。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50"/>
        <w:gridCol w:w="1757"/>
      </w:tblGrid>
      <w:tr>
        <w:tc>
          <w:tcPr>
            <w:tcW w:type="dxa" w:w="8050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Microsoft YaHei" w:hAnsi="Microsoft YaHei" w:eastAsia="Microsoft YaHei"/>
                <w:b/>
                <w:color w:val="1C2533"/>
                <w:sz w:val="20"/>
              </w:rPr>
              <w:t>自媒体主播工具</w:t>
            </w:r>
          </w:p>
        </w:tc>
        <w:tc>
          <w:tcPr>
            <w:tcW w:type="dxa" w:w="1757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Next/>
              <w:spacing w:before="0" w:after="0" w:line="269" w:lineRule="auto"/>
              <w:jc w:val="right"/>
            </w:pPr>
            <w:r>
              <w:rPr>
                <w:rFonts w:ascii="Microsoft YaHei" w:hAnsi="Microsoft YaHei" w:eastAsia="Microsoft YaHei"/>
                <w:b w:val="0"/>
                <w:color w:val="566273"/>
                <w:sz w:val="16"/>
              </w:rPr>
              <w:t>独立开发</w:t>
            </w:r>
          </w:p>
        </w:tc>
      </w:tr>
    </w:tbl>
    <w:p>
      <w:pPr>
        <w:keepNext/>
        <w:spacing w:before="0" w:after="16" w:line="269" w:lineRule="auto"/>
      </w:pPr>
      <w:r>
        <w:rPr>
          <w:rFonts w:ascii="Microsoft YaHei" w:hAnsi="Microsoft YaHei" w:eastAsia="Microsoft YaHei"/>
          <w:b/>
          <w:color w:val="245B9E"/>
          <w:sz w:val="16"/>
        </w:rPr>
        <w:t>阵容数据分析｜图像识别｜直播互动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基于遗传算法框架 JGAP 实现云顶之弈英雄、羁绊与阵容约束下的组合搜索，将手工试配转化为自动化阵容求解与可交互的数据探索；在线地址：http://tftgamer.com/。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开发直播弹幕投票工具，采集弹幕中的投票指令，完成实时统计、结果聚合与展示。</w:t>
      </w:r>
    </w:p>
    <w:p>
      <w:pPr>
        <w:pStyle w:val="ListBullet"/>
        <w:keepNext w:val="0"/>
        <w:spacing w:before="0" w:after="18" w:line="259" w:lineRule="auto"/>
        <w:ind w:left="312" w:hanging="142"/>
      </w:pPr>
      <w:r>
        <w:rPr>
          <w:rFonts w:ascii="Microsoft YaHei" w:hAnsi="Microsoft YaHei" w:eastAsia="Microsoft YaHei"/>
          <w:b w:val="0"/>
          <w:color w:val="394659"/>
          <w:sz w:val="17"/>
        </w:rPr>
        <w:t>开发金铲铲之战战绩统计工具，通过自动化程序抓取排行榜前列玩家战绩，使用图像 Embedding 与余弦相似度匹配英雄和装备头像，自动统计对局数据、识别强势阵容并发掘冷门阵容。</w:t>
      </w:r>
    </w:p>
    <w:p>
      <w:pPr>
        <w:keepNext/>
        <w:spacing w:before="80" w:after="60" w:line="240" w:lineRule="auto"/>
        <w:pBdr>
          <w:bottom w:val="single" w:sz="6" w:space="3" w:color="DCE2E9"/>
        </w:pBdr>
      </w:pPr>
      <w:r>
        <w:rPr>
          <w:rFonts w:ascii="Microsoft YaHei" w:hAnsi="Microsoft YaHei" w:eastAsia="Microsoft YaHei"/>
          <w:b/>
          <w:color w:val="1C2533"/>
          <w:sz w:val="26"/>
        </w:rPr>
        <w:t>技术栈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518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keepNext/>
              <w:spacing w:before="0" w:after="16" w:line="252" w:lineRule="auto"/>
            </w:pPr>
            <w:r>
              <w:rPr>
                <w:rFonts w:ascii="Microsoft YaHei" w:hAnsi="Microsoft YaHei" w:eastAsia="Microsoft YaHei"/>
                <w:b/>
                <w:color w:val="245B9E"/>
                <w:sz w:val="17"/>
              </w:rPr>
              <w:t>Java 后端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Microsoft YaHei" w:hAnsi="Microsoft YaHei" w:eastAsia="Microsoft YaHei"/>
                <w:b w:val="0"/>
                <w:color w:val="414D5E"/>
                <w:sz w:val="16"/>
              </w:rPr>
              <w:t>Java、Spring Boot、Spring MVC、MyBatis / MyBatis-Plus、JPA / Hibernate、REST API、并发编程、设计模式</w:t>
            </w:r>
          </w:p>
        </w:tc>
        <w:tc>
          <w:tcPr>
            <w:tcW w:type="dxa" w:w="518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keepNext/>
              <w:spacing w:before="0" w:after="16" w:line="252" w:lineRule="auto"/>
            </w:pPr>
            <w:r>
              <w:rPr>
                <w:rFonts w:ascii="Microsoft YaHei" w:hAnsi="Microsoft YaHei" w:eastAsia="Microsoft YaHei"/>
                <w:b/>
                <w:color w:val="245B9E"/>
                <w:sz w:val="17"/>
              </w:rPr>
              <w:t>数据与中间件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Microsoft YaHei" w:hAnsi="Microsoft YaHei" w:eastAsia="Microsoft YaHei"/>
                <w:b w:val="0"/>
                <w:color w:val="414D5E"/>
                <w:sz w:val="16"/>
              </w:rPr>
              <w:t>MySQL、Oracle、Redis、Kafka、Elasticsearch、复杂业务数据建模、批处理</w:t>
            </w:r>
          </w:p>
        </w:tc>
      </w:tr>
      <w:tr>
        <w:tc>
          <w:tcPr>
            <w:tcW w:type="dxa" w:w="518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keepNext/>
              <w:spacing w:before="0" w:after="16" w:line="252" w:lineRule="auto"/>
            </w:pPr>
            <w:r>
              <w:rPr>
                <w:rFonts w:ascii="Microsoft YaHei" w:hAnsi="Microsoft YaHei" w:eastAsia="Microsoft YaHei"/>
                <w:b/>
                <w:color w:val="245B9E"/>
                <w:sz w:val="17"/>
              </w:rPr>
              <w:t>Web 前端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Microsoft YaHei" w:hAnsi="Microsoft YaHei" w:eastAsia="Microsoft YaHei"/>
                <w:b w:val="0"/>
                <w:color w:val="414D5E"/>
                <w:sz w:val="16"/>
              </w:rPr>
              <w:t>Vue 2/3、React、JavaScript、Umi / Dva、Element UI / Plus、Ant Design、Vite / Webpack</w:t>
            </w:r>
          </w:p>
        </w:tc>
        <w:tc>
          <w:tcPr>
            <w:tcW w:type="dxa" w:w="518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keepNext/>
              <w:spacing w:before="0" w:after="16" w:line="252" w:lineRule="auto"/>
            </w:pPr>
            <w:r>
              <w:rPr>
                <w:rFonts w:ascii="Microsoft YaHei" w:hAnsi="Microsoft YaHei" w:eastAsia="Microsoft YaHei"/>
                <w:b/>
                <w:color w:val="245B9E"/>
                <w:sz w:val="17"/>
              </w:rPr>
              <w:t>AI / Agent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Microsoft YaHei" w:hAnsi="Microsoft YaHei" w:eastAsia="Microsoft YaHei"/>
                <w:b w:val="0"/>
                <w:color w:val="414D5E"/>
                <w:sz w:val="16"/>
              </w:rPr>
              <w:t>RAG、Embedding / 向量检索、Tool Calling、多轮 Agent、Prompt 设计、长文本结构化与知识抽取</w:t>
            </w:r>
          </w:p>
        </w:tc>
      </w:tr>
      <w:tr>
        <w:tc>
          <w:tcPr>
            <w:tcW w:type="dxa" w:w="518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keepNext/>
              <w:spacing w:before="0" w:after="16" w:line="252" w:lineRule="auto"/>
            </w:pPr>
            <w:r>
              <w:rPr>
                <w:rFonts w:ascii="Microsoft YaHei" w:hAnsi="Microsoft YaHei" w:eastAsia="Microsoft YaHei"/>
                <w:b/>
                <w:color w:val="245B9E"/>
                <w:sz w:val="17"/>
              </w:rPr>
              <w:t>算法与建模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Microsoft YaHei" w:hAnsi="Microsoft YaHei" w:eastAsia="Microsoft YaHei"/>
                <w:b w:val="0"/>
                <w:color w:val="414D5E"/>
                <w:sz w:val="16"/>
              </w:rPr>
              <w:t>最大似然估计、MCMC、可靠性分析、层级聚合计算、规则 DSL、配置驱动执行</w:t>
            </w:r>
          </w:p>
        </w:tc>
        <w:tc>
          <w:tcPr>
            <w:tcW w:type="dxa" w:w="518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keepNext/>
              <w:spacing w:before="0" w:after="16" w:line="252" w:lineRule="auto"/>
            </w:pPr>
            <w:r>
              <w:rPr>
                <w:rFonts w:ascii="Microsoft YaHei" w:hAnsi="Microsoft YaHei" w:eastAsia="Microsoft YaHei"/>
                <w:b/>
                <w:color w:val="245B9E"/>
                <w:sz w:val="17"/>
              </w:rPr>
              <w:t>工程交付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Microsoft YaHei" w:hAnsi="Microsoft YaHei" w:eastAsia="Microsoft YaHei"/>
                <w:b w:val="0"/>
                <w:color w:val="414D5E"/>
                <w:sz w:val="16"/>
              </w:rPr>
              <w:t>Linux、Nginx、Docker、Maven、Git / SVN、环境搭建、部署与问题定位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10" w:right="765" w:bottom="482" w:left="765" w:header="227" w:footer="22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icrosoft YaHei" w:hAnsi="Microsoft YaHei" w:eastAsia="Microsoft YaHei"/>
        <w:b w:val="0"/>
        <w:color w:val="8A929D"/>
        <w:sz w:val="15"/>
      </w:rPr>
      <w:t>严鹏｜Java 全栈与 AI 系统工程师｜成都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2" w:line="259" w:lineRule="auto"/>
    </w:pPr>
    <w:rPr>
      <w:rFonts w:ascii="Microsoft YaHei" w:hAnsi="Microsoft YaHei" w:eastAsia="Microsoft YaHei"/>
      <w:color w:val="1C2533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严鹏｜Java 全栈与 AI 系统工程师简历</dc:title>
  <dc:subject>Java Web 全栈、AI 系统、AI 应用与 Agent 开发</dc:subject>
  <dc:creator>严鹏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